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E7DDE" w:rsidRDefault="00CE7DDE" w:rsidP="00F80F02">
      <w:pPr>
        <w:jc w:val="both"/>
        <w:rPr>
          <w:b/>
          <w:lang w:val="ka-GE"/>
        </w:rPr>
      </w:pPr>
      <w:r>
        <w:rPr>
          <w:b/>
          <w:lang w:val="ka-GE"/>
        </w:rPr>
        <w:t>დანართი 7:</w:t>
      </w:r>
    </w:p>
    <w:p w:rsidR="00F41198" w:rsidRPr="00AA52B0" w:rsidRDefault="00AA52B0" w:rsidP="00F80F02">
      <w:pPr>
        <w:jc w:val="center"/>
        <w:rPr>
          <w:b/>
          <w:lang w:val="ka-GE"/>
        </w:rPr>
      </w:pPr>
      <w:r w:rsidRPr="00AA52B0">
        <w:rPr>
          <w:b/>
          <w:lang w:val="ka-GE"/>
        </w:rPr>
        <w:t xml:space="preserve">ჰესის კომუნიკაციების სამშენებლო სამუშაოების მოკლე მიმოხილვა </w:t>
      </w:r>
    </w:p>
    <w:p w:rsidR="00AA52B0" w:rsidRDefault="00AA52B0" w:rsidP="00F80F02"/>
    <w:p w:rsidR="00AA52B0" w:rsidRPr="00AA52B0" w:rsidRDefault="00AA52B0" w:rsidP="00F80F02">
      <w:pPr>
        <w:rPr>
          <w:lang w:val="ka-GE"/>
        </w:rPr>
      </w:pPr>
      <w:r w:rsidRPr="00AA52B0">
        <w:rPr>
          <w:b/>
          <w:lang w:val="ka-GE"/>
        </w:rPr>
        <w:t>შენიშვნა 7:</w:t>
      </w:r>
      <w:r>
        <w:rPr>
          <w:lang w:val="ka-GE"/>
        </w:rPr>
        <w:t xml:space="preserve"> </w:t>
      </w:r>
      <w:r w:rsidRPr="00AA52B0">
        <w:rPr>
          <w:lang w:val="ka-GE"/>
        </w:rPr>
        <w:t xml:space="preserve">მდ. </w:t>
      </w:r>
      <w:proofErr w:type="spellStart"/>
      <w:r w:rsidRPr="00AA52B0">
        <w:rPr>
          <w:lang w:val="ka-GE"/>
        </w:rPr>
        <w:t>სვიანაზე</w:t>
      </w:r>
      <w:proofErr w:type="spellEnd"/>
      <w:r w:rsidRPr="00AA52B0">
        <w:rPr>
          <w:lang w:val="ka-GE"/>
        </w:rPr>
        <w:t xml:space="preserve"> სათავე ნაგებობების და ჰიდროელექტროსადგურის სადერივაციო ტრაქტის (სადაწნეო და სატურბინო მილსადენები, აკვედუკი, გვირაბი) მშენებლობის ტექნოლოგიური სქემები წარმოდგენილი არ არის. წარმოდგენილია სადერივაციო გვირაბის გაყვანის ტექნოლოგიური სქემა და ბურღვა-აფეთქებების სამუშაოთა პასპორტის ფორმა. წარმოდგენას საჭიროებს გვირაბში სანგრევების რაოდენობა, პორტალებთან მისასვლელი გზების სქემები, პორტალთან მდებარე მეურნეობების სქემები, გვირაბში მასალების მიწოდებისა და ქანების გამოტანის სქემები.</w:t>
      </w:r>
    </w:p>
    <w:p w:rsidR="00AA52B0" w:rsidRPr="00AA52B0" w:rsidRDefault="00AA52B0" w:rsidP="00F80F02">
      <w:pPr>
        <w:rPr>
          <w:highlight w:val="green"/>
          <w:lang w:val="ka-GE"/>
        </w:rPr>
      </w:pPr>
    </w:p>
    <w:p w:rsidR="00AA52B0" w:rsidRDefault="00AA52B0" w:rsidP="00F80F02">
      <w:pPr>
        <w:spacing w:after="120"/>
        <w:jc w:val="both"/>
        <w:rPr>
          <w:w w:val="100"/>
          <w:lang w:val="ka-GE"/>
        </w:rPr>
      </w:pPr>
      <w:r>
        <w:rPr>
          <w:b/>
          <w:lang w:val="ka-GE"/>
        </w:rPr>
        <w:t>სათავე ნაგებობის მოწყობა:</w:t>
      </w:r>
      <w:r>
        <w:rPr>
          <w:lang w:val="ka-GE"/>
        </w:rPr>
        <w:t xml:space="preserve"> როგორც გზშ-ს ანგარიშშია მოცემული, სტორი 2 ჰესის პროექტის მიხედვით, ტიპიური სათავე ნაგებობის მოწყობა დაგეგმილი მხოლოდ მდ. სვიანასხევის წყლის აღების მიზნით. მდ. სტორის წყლის აღება მოხდება სტორი 1 ჰესის გამყვანი არხიდან და მდინარის კალაპოტში სამუშაოების შესრულებას ადგილი არ ექნება. </w:t>
      </w:r>
    </w:p>
    <w:p w:rsidR="00AA52B0" w:rsidRDefault="00AA52B0" w:rsidP="00F80F02">
      <w:pPr>
        <w:spacing w:after="120"/>
        <w:jc w:val="both"/>
        <w:rPr>
          <w:lang w:val="ka-GE"/>
        </w:rPr>
      </w:pPr>
      <w:r>
        <w:rPr>
          <w:lang w:val="ka-GE"/>
        </w:rPr>
        <w:t xml:space="preserve">მდ. სვიანასხევზე დაგეგმილი სათავე ნაგებობების სამშენებლო სამუშაოები, როგორც წესი  შესრულდება მდინარის მშრალ კალაპოტში. მშენებლობის პერიოდში წყლის გატარება მოხდება დროებითი ზღუდარების და სადერივაციო არხის საშუალებით.  </w:t>
      </w:r>
    </w:p>
    <w:p w:rsidR="00AA52B0" w:rsidRDefault="00AA52B0" w:rsidP="00F80F02">
      <w:pPr>
        <w:spacing w:after="120"/>
        <w:jc w:val="both"/>
        <w:rPr>
          <w:lang w:val="ka-GE"/>
        </w:rPr>
      </w:pPr>
      <w:r>
        <w:rPr>
          <w:lang w:val="ka-GE"/>
        </w:rPr>
        <w:t>სათავე ნაგებობის მშენებლობის დაწყებამდე ნაგებობის განთავსების კვეთის ზედა და ქვედა ბიეფებში მოეწყობა 2.5 მ სიმაღლის დროებითი ზღუდარები და მდინარის წყლის გადაგდება მოხდება მდინარის მარჯვენა სანაპიროზე მოწყობილ დროებით სადერივაციო არხში. სადერივაციო არხი გათვალისწინებული იქნება 10 წლიანი  განმეორებადობის მაქსიმალური ხარჯის გატარებაზე.</w:t>
      </w:r>
    </w:p>
    <w:p w:rsidR="00AA52B0" w:rsidRDefault="00AA52B0" w:rsidP="00F80F02">
      <w:pPr>
        <w:spacing w:after="120"/>
        <w:jc w:val="both"/>
        <w:rPr>
          <w:lang w:val="ka-GE"/>
        </w:rPr>
      </w:pPr>
      <w:r>
        <w:rPr>
          <w:lang w:val="ka-GE"/>
        </w:rPr>
        <w:t xml:space="preserve">დროებითი ზღუდარების და სადერივაციო არხის მოწყობის შემდეგ მდინარის მშრალ კალაპოტში შესრულდება სათავე ნაგებობის სამშენებლო სამუშაოები, რომლის დამთავრების და ექსპლუატაციაში გაშვების წინ მოხდება დროებითი ზღუდარების და არხის დემონტაჟი და წყალი გატარებული იქნება სათავე ნაგებობის საშუალებით. </w:t>
      </w:r>
    </w:p>
    <w:p w:rsidR="00AA52B0" w:rsidRDefault="00AA52B0" w:rsidP="00F80F02">
      <w:pPr>
        <w:spacing w:after="120"/>
        <w:jc w:val="both"/>
        <w:rPr>
          <w:lang w:val="ka-GE"/>
        </w:rPr>
      </w:pPr>
      <w:r>
        <w:rPr>
          <w:b/>
          <w:lang w:val="ka-GE"/>
        </w:rPr>
        <w:t>სადერივაციო მილსადენის მოწყობა:</w:t>
      </w:r>
      <w:r>
        <w:rPr>
          <w:lang w:val="ka-GE"/>
        </w:rPr>
        <w:t xml:space="preserve">  მილსადენის მოწყობის სამუშაოები ითვალისწინებს შემდეგი ქმედებების შესრულებას:</w:t>
      </w:r>
    </w:p>
    <w:p w:rsidR="00AA52B0" w:rsidRPr="00F80F02" w:rsidRDefault="00AA52B0" w:rsidP="00F80F02">
      <w:pPr>
        <w:pStyle w:val="ListParagraph"/>
        <w:widowControl w:val="0"/>
        <w:numPr>
          <w:ilvl w:val="0"/>
          <w:numId w:val="3"/>
        </w:numPr>
        <w:spacing w:after="0" w:line="240" w:lineRule="auto"/>
        <w:jc w:val="both"/>
        <w:rPr>
          <w:rFonts w:cs="Arial"/>
          <w:lang w:val="ka-GE"/>
        </w:rPr>
      </w:pPr>
      <w:r w:rsidRPr="00F80F02">
        <w:rPr>
          <w:rFonts w:cs="Arial"/>
          <w:lang w:val="ka-GE"/>
        </w:rPr>
        <w:t>ტრანშეის გათხრა, ძირის სიგანით მინიმუმ 500 მმ მეტი მილის გარე დიამეტრზე გვერდების დახრა გეოლოგიური პროფილის მიხედვით;</w:t>
      </w:r>
    </w:p>
    <w:p w:rsidR="00AA52B0" w:rsidRPr="00F80F02" w:rsidRDefault="00AA52B0" w:rsidP="00F80F02">
      <w:pPr>
        <w:pStyle w:val="ListParagraph"/>
        <w:widowControl w:val="0"/>
        <w:numPr>
          <w:ilvl w:val="0"/>
          <w:numId w:val="3"/>
        </w:numPr>
        <w:spacing w:after="0" w:line="240" w:lineRule="auto"/>
        <w:jc w:val="both"/>
        <w:rPr>
          <w:rFonts w:cs="Arial"/>
          <w:lang w:val="ka-GE"/>
        </w:rPr>
      </w:pPr>
      <w:r w:rsidRPr="00F80F02">
        <w:rPr>
          <w:rFonts w:cs="Arial"/>
          <w:lang w:val="ka-GE"/>
        </w:rPr>
        <w:t>მილსადენის ძირის მოწყობა, დატკეპვნა (ხრეში, რბილი გრუნტი, ა.შ);</w:t>
      </w:r>
    </w:p>
    <w:p w:rsidR="00AA52B0" w:rsidRPr="00F80F02" w:rsidRDefault="00AA52B0" w:rsidP="00F80F02">
      <w:pPr>
        <w:pStyle w:val="ListParagraph"/>
        <w:widowControl w:val="0"/>
        <w:numPr>
          <w:ilvl w:val="0"/>
          <w:numId w:val="3"/>
        </w:numPr>
        <w:spacing w:after="0" w:line="240" w:lineRule="auto"/>
        <w:jc w:val="both"/>
        <w:rPr>
          <w:rFonts w:cs="Arial"/>
          <w:lang w:val="ka-GE"/>
        </w:rPr>
      </w:pPr>
      <w:r w:rsidRPr="00F80F02">
        <w:rPr>
          <w:rFonts w:cs="Arial"/>
          <w:lang w:val="ka-GE"/>
        </w:rPr>
        <w:t>მილის ჩადება ტრანშეაში;</w:t>
      </w:r>
    </w:p>
    <w:p w:rsidR="00AA52B0" w:rsidRPr="00F80F02" w:rsidRDefault="00AA52B0" w:rsidP="00F80F02">
      <w:pPr>
        <w:pStyle w:val="ListParagraph"/>
        <w:widowControl w:val="0"/>
        <w:numPr>
          <w:ilvl w:val="0"/>
          <w:numId w:val="3"/>
        </w:numPr>
        <w:spacing w:after="0" w:line="240" w:lineRule="auto"/>
        <w:jc w:val="both"/>
        <w:rPr>
          <w:rFonts w:cs="Arial"/>
          <w:lang w:val="ka-GE"/>
        </w:rPr>
      </w:pPr>
      <w:r w:rsidRPr="00F80F02">
        <w:rPr>
          <w:rFonts w:cs="Arial"/>
          <w:lang w:val="ka-GE"/>
        </w:rPr>
        <w:t>შედუღება;</w:t>
      </w:r>
    </w:p>
    <w:p w:rsidR="00AA52B0" w:rsidRPr="00F80F02" w:rsidRDefault="00AA52B0" w:rsidP="00F80F02">
      <w:pPr>
        <w:pStyle w:val="ListParagraph"/>
        <w:widowControl w:val="0"/>
        <w:numPr>
          <w:ilvl w:val="0"/>
          <w:numId w:val="3"/>
        </w:numPr>
        <w:spacing w:after="0" w:line="240" w:lineRule="auto"/>
        <w:jc w:val="both"/>
        <w:rPr>
          <w:rFonts w:cs="Arial"/>
          <w:lang w:val="ka-GE"/>
        </w:rPr>
      </w:pPr>
      <w:r w:rsidRPr="00F80F02">
        <w:rPr>
          <w:rFonts w:cs="Arial"/>
          <w:lang w:val="ka-GE"/>
        </w:rPr>
        <w:t>უკუჩაყრა, დატკეპნა.</w:t>
      </w:r>
    </w:p>
    <w:p w:rsidR="00AA52B0" w:rsidRPr="00F80F02" w:rsidRDefault="00AA52B0" w:rsidP="00F80F02">
      <w:pPr>
        <w:pStyle w:val="ListParagraph"/>
        <w:widowControl w:val="0"/>
        <w:numPr>
          <w:ilvl w:val="0"/>
          <w:numId w:val="3"/>
        </w:numPr>
        <w:spacing w:after="0" w:line="240" w:lineRule="auto"/>
        <w:jc w:val="both"/>
        <w:rPr>
          <w:rFonts w:cs="Arial"/>
          <w:lang w:val="ka-GE"/>
        </w:rPr>
      </w:pPr>
      <w:r w:rsidRPr="00F80F02">
        <w:rPr>
          <w:rFonts w:cs="Arial"/>
          <w:lang w:val="ka-GE"/>
        </w:rPr>
        <w:t>გარემოს პირველად მდგომარეობაში აღდგენა</w:t>
      </w:r>
    </w:p>
    <w:p w:rsidR="00AA52B0" w:rsidRDefault="00AA52B0" w:rsidP="00F80F02">
      <w:pPr>
        <w:spacing w:after="120"/>
        <w:jc w:val="both"/>
        <w:rPr>
          <w:lang w:val="ka-GE"/>
        </w:rPr>
      </w:pPr>
      <w:r>
        <w:rPr>
          <w:lang w:val="ka-GE"/>
        </w:rPr>
        <w:t>სამშენებლო დერეფანში მილების შემოტანა მოხდება ავტოტრანსპორტის გამოყენებით და დასაწყობდება სამშენებლო ბანაკების ტერიტორიებზე ამისათვის წინაწარ შერჩეულ უბნებზე. ტრანსპორტირებას დაცული უნდა იყოს  შესაბამისი წესები ნაზოლისა და იზოლაციის დაზიანებისგან დაცვისათვის. ასევე თავიდან უნდა იქნას აცილებული მილის დაგდება, გადაგორება, მყარი და ბასრი საგნების მირტყმა, რათა მინიმუმამდე შემცირდეს მილის დაზიანების რისკი.</w:t>
      </w:r>
    </w:p>
    <w:p w:rsidR="00AA52B0" w:rsidRDefault="00AA52B0" w:rsidP="00F80F02">
      <w:pPr>
        <w:spacing w:after="120"/>
        <w:jc w:val="both"/>
        <w:rPr>
          <w:lang w:val="ka-GE"/>
        </w:rPr>
      </w:pPr>
      <w:r>
        <w:rPr>
          <w:lang w:val="ka-GE"/>
        </w:rPr>
        <w:lastRenderedPageBreak/>
        <w:t xml:space="preserve">მილსადენის განთავსებისათვის თხრილის მომზადება მოხდება ექსკავატორის საშუალებით, მილის განთავსება მოხდება წინასწარ მომზადებული გზის ვაკისზე და შესაბამისად ამისათვის ფერდობების დამატებით ჩამოჭრა საჭირო არ იქნება.  </w:t>
      </w:r>
    </w:p>
    <w:p w:rsidR="00AA52B0" w:rsidRDefault="00AA52B0" w:rsidP="00F80F02">
      <w:pPr>
        <w:spacing w:after="120"/>
        <w:jc w:val="both"/>
        <w:rPr>
          <w:lang w:val="ka-GE"/>
        </w:rPr>
      </w:pPr>
      <w:r>
        <w:rPr>
          <w:lang w:val="ka-GE"/>
        </w:rPr>
        <w:t xml:space="preserve">მილსადენის განთავსების შემდეგ მოხდება გრუნტით დაფარვა ისე, რომ ზედაპირიდან დაცილება არ იქნება 1 მ-ზე ნაკლები, რაც პრაქტიკულად გამორიცხავს მისი მექანიკური დაზიანების რისკებს. </w:t>
      </w:r>
    </w:p>
    <w:p w:rsidR="00AA52B0" w:rsidRDefault="00AA52B0" w:rsidP="00F80F02">
      <w:pPr>
        <w:spacing w:after="120"/>
        <w:jc w:val="both"/>
        <w:rPr>
          <w:lang w:val="ka-GE"/>
        </w:rPr>
      </w:pPr>
      <w:r>
        <w:rPr>
          <w:lang w:val="ka-GE"/>
        </w:rPr>
        <w:t>მილსადენის განთავსების ტიპიური სქემა მოცემულია ნახაზზე.</w:t>
      </w:r>
    </w:p>
    <w:p w:rsidR="00AA52B0" w:rsidRDefault="00AA52B0" w:rsidP="00F80F02">
      <w:pPr>
        <w:spacing w:after="120"/>
        <w:jc w:val="both"/>
        <w:rPr>
          <w:lang w:val="ka-GE"/>
        </w:rPr>
      </w:pPr>
      <w:r>
        <w:rPr>
          <w:rFonts w:eastAsia="Sylfaen" w:cs="Sylfaen"/>
          <w:b/>
          <w:sz w:val="20"/>
          <w:szCs w:val="20"/>
          <w:lang w:val="ka-GE"/>
        </w:rPr>
        <w:t xml:space="preserve">ნახაზი </w:t>
      </w:r>
      <w:r>
        <w:rPr>
          <w:rFonts w:eastAsia="Sylfaen" w:cs="Sylfaen"/>
          <w:sz w:val="20"/>
          <w:szCs w:val="20"/>
          <w:lang w:val="ka-GE"/>
        </w:rPr>
        <w:t xml:space="preserve"> მილსადენის </w:t>
      </w:r>
      <w:r>
        <w:rPr>
          <w:rFonts w:cs="Sylfaen"/>
          <w:sz w:val="20"/>
          <w:szCs w:val="20"/>
          <w:lang w:val="ka-GE"/>
        </w:rPr>
        <w:t>ტრანშეის</w:t>
      </w:r>
      <w:r>
        <w:rPr>
          <w:sz w:val="20"/>
          <w:szCs w:val="20"/>
          <w:lang w:val="ka-GE"/>
        </w:rPr>
        <w:t xml:space="preserve"> </w:t>
      </w:r>
      <w:r>
        <w:rPr>
          <w:rFonts w:cs="Sylfaen"/>
          <w:sz w:val="20"/>
          <w:szCs w:val="20"/>
          <w:lang w:val="ka-GE"/>
        </w:rPr>
        <w:t>ტიპიური</w:t>
      </w:r>
      <w:r>
        <w:rPr>
          <w:sz w:val="20"/>
          <w:szCs w:val="20"/>
          <w:lang w:val="ka-GE"/>
        </w:rPr>
        <w:t xml:space="preserve"> </w:t>
      </w:r>
      <w:r>
        <w:rPr>
          <w:rFonts w:cs="Sylfaen"/>
          <w:sz w:val="20"/>
          <w:szCs w:val="20"/>
          <w:lang w:val="ka-GE"/>
        </w:rPr>
        <w:t>განივი</w:t>
      </w:r>
      <w:r>
        <w:rPr>
          <w:sz w:val="20"/>
          <w:szCs w:val="20"/>
          <w:lang w:val="ka-GE"/>
        </w:rPr>
        <w:t xml:space="preserve"> </w:t>
      </w:r>
      <w:r>
        <w:rPr>
          <w:rFonts w:cs="Sylfaen"/>
          <w:sz w:val="20"/>
          <w:szCs w:val="20"/>
          <w:lang w:val="ka-GE"/>
        </w:rPr>
        <w:t>ჭრილი</w:t>
      </w:r>
    </w:p>
    <w:p w:rsidR="00AA52B0" w:rsidRDefault="00AA52B0" w:rsidP="00F80F02">
      <w:pPr>
        <w:spacing w:before="120" w:after="120" w:line="254" w:lineRule="auto"/>
        <w:jc w:val="center"/>
        <w:rPr>
          <w:color w:val="000000"/>
          <w:lang w:val="ka-GE"/>
        </w:rPr>
      </w:pPr>
      <w:r>
        <w:rPr>
          <w:noProof/>
          <w:color w:val="000000"/>
          <w:lang w:val="ka-GE" w:eastAsia="ka-GE"/>
        </w:rPr>
        <w:drawing>
          <wp:inline distT="0" distB="0" distL="0" distR="0" wp14:anchorId="21A37235" wp14:editId="65D9EA7E">
            <wp:extent cx="5231765" cy="2790825"/>
            <wp:effectExtent l="0" t="0" r="6985" b="9525"/>
            <wp:docPr id="7" name="Picture 984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788"/>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31765" cy="2790825"/>
                    </a:xfrm>
                    <a:prstGeom prst="rect">
                      <a:avLst/>
                    </a:prstGeom>
                    <a:noFill/>
                    <a:ln>
                      <a:noFill/>
                    </a:ln>
                  </pic:spPr>
                </pic:pic>
              </a:graphicData>
            </a:graphic>
          </wp:inline>
        </w:drawing>
      </w:r>
    </w:p>
    <w:p w:rsidR="00AA52B0" w:rsidRDefault="00AA52B0" w:rsidP="00F80F02">
      <w:pPr>
        <w:spacing w:after="120"/>
        <w:jc w:val="both"/>
        <w:rPr>
          <w:lang w:val="ka-GE"/>
        </w:rPr>
      </w:pPr>
      <w:r>
        <w:rPr>
          <w:b/>
          <w:lang w:val="ka-GE"/>
        </w:rPr>
        <w:t>გვირაბის გაყვანა:</w:t>
      </w:r>
      <w:r>
        <w:rPr>
          <w:lang w:val="ka-GE"/>
        </w:rPr>
        <w:t xml:space="preserve"> პროექტის მიხედვით, გვირაბის გაყვანის სამუშაოები შესრულებული იქნება შესასვლელი და გამოსასვლელი პორტალებიდან და სამშენებლო შტოლნიდან. შესაბამისად გვირაბის გაყვანის პროცესში ერთდროულად იმოქმედებს 4 სანგრევი შესასვლელი და გამოსასვლელი პორტალებიდან და სამშენებლო შტოლნიდან ორი მიმართულებით. გვირაბის პორტალებთან სამშენებლო შტოლის პორტალთან მოწყობილი იქნება სამშენებლო მოედნები, სადაც განთავსებული იქნება შესაბამისი ინფრასტრუქტურა, კერძოდ: საქმიანობის სპეციფიკის გათვალისწინებით, ყველა სამშენებლო მოედანზე განთავსებული იქნება იდენტური ინფრასტრუქტურა, მათ შორის: სავენტილაციო დანადგარი, საკომპრესორო, სატრანსფორმატორო ქვესადგური, გვირაბიდან მიღებული სადრენაჟო წყლების სალექარი, დაცვის ჯიხური და ტექნიკის სადგომი. გვირაბის პორტალების სამშენებლო მოედნების სქემები მოცემულია ნახაზებზე 1, 2 და 3, ხოლო სამშენებლო მოედნებზე დაგეგმილი სადრენაჟო წყლების სალექარის სქემა ნახაზზე 4. სალექარიდან მიღებული გაწმენდილი წყლის ჩაშვება მდ. სტორში მილსადენის საშუალებით.</w:t>
      </w:r>
    </w:p>
    <w:p w:rsidR="00AA52B0" w:rsidRDefault="00AA52B0" w:rsidP="00F80F02">
      <w:pPr>
        <w:spacing w:after="120"/>
        <w:jc w:val="both"/>
        <w:rPr>
          <w:lang w:val="ka-GE"/>
        </w:rPr>
      </w:pPr>
      <w:r>
        <w:rPr>
          <w:lang w:val="ka-GE"/>
        </w:rPr>
        <w:t xml:space="preserve">გვირაბის მშენებლობის პროცესში სანგრევებიდან გამონამუშევარი ქანების გამოტანისა და გვირაბში სამშენებლო მასალების ტრანსპორტირებისათვის გამოყენებული იქნება მცირე ზომის და მაღალი წარმადობის საგვირაბო ტექნიკა. გვირაბის განივკვეთის გათვალისწინებით გამოყენებული იქნება სპეციალური მინი ავტოთივთმცლელები და ქანდამტვირთავი მანქანა. გვირაბიდან გამოტანილი ქანების დროებითი დასაწყობება მოხდება პორტალის მიმდებარე სამშენებლო მოედანზე  და შემდეგ თვითმცლელი ავტომანქანებით გადატანილი იქნება მუდმივი დასაწყობების ადგილებზე.  </w:t>
      </w:r>
    </w:p>
    <w:p w:rsidR="00AA52B0" w:rsidRDefault="00AA52B0" w:rsidP="00F80F02">
      <w:pPr>
        <w:spacing w:after="120"/>
        <w:jc w:val="both"/>
        <w:rPr>
          <w:lang w:val="ka-GE"/>
        </w:rPr>
      </w:pPr>
      <w:r>
        <w:rPr>
          <w:lang w:val="ka-GE"/>
        </w:rPr>
        <w:lastRenderedPageBreak/>
        <w:t xml:space="preserve">სამშენებლო მასალების პორტალების სამშენებლო მოედნებიდან გვირაბში ტრანსპორტირებისათვის გამოყენებული იქნება მინი ავტოთივთმცლელები. </w:t>
      </w:r>
    </w:p>
    <w:p w:rsidR="00AA52B0" w:rsidRDefault="00AA52B0" w:rsidP="00F80F02">
      <w:pPr>
        <w:spacing w:after="120"/>
        <w:jc w:val="both"/>
        <w:rPr>
          <w:lang w:val="ka-GE"/>
        </w:rPr>
      </w:pPr>
      <w:r>
        <w:rPr>
          <w:lang w:val="ka-GE"/>
        </w:rPr>
        <w:t xml:space="preserve">სამშენებლო მასალების და გამონამუშევარი ქანების ტრანსპორტირება, სადერივაციო გვირაბის შესასვლელ პორტალამდე მოხდება ფშაველი-აბანო-ომალოს საავტომობილო გზით და ახალი გზის მოწყობა საჭირო არ არის. გვირაბის გამოსასვლელ პორტალთან დაგეგმილია ახალი გზის მოწყობა, რომლის საწყის მონაკვეთზე გამოყენებული იქნება არსებული სატყეო გზა, ხოლო შემგომ გამთანაბრებელი აუზის განთავსების წერტილამდე მოეწყობა ახალი გზა.  გამთანაბრებელი აუზიდან გვირაბის გამოსასვლელ პორტალამდე მისასვლელად ასევე მოეწყობა ახალი გზა რომელიც ასევე გამოყენებული იქნება 300 მ სიგრძის სადერივაციო მილსადენის განთავსებისათვის. გვირაბის გამოსასვლელ პორტალთან მისასვლელი გზის სქემა მოცემულია ნახაზზე 5.      </w:t>
      </w:r>
    </w:p>
    <w:p w:rsidR="00AA52B0" w:rsidRDefault="00AA52B0" w:rsidP="00F80F02">
      <w:pPr>
        <w:spacing w:after="120"/>
        <w:jc w:val="both"/>
        <w:rPr>
          <w:lang w:val="ka-GE"/>
        </w:rPr>
      </w:pPr>
      <w:r>
        <w:rPr>
          <w:lang w:val="ka-GE"/>
        </w:rPr>
        <w:t xml:space="preserve">სამშენებლო შტოლნის შესასვლელი პორტალთან მისასვლელი გზის მოწყობა დაგეგმილია ფშაველი-აბანო-ომალოს საავტომობილო გზიდან. აღნიშნული გზიდან პორტალის სამშენებლო მოედნამდე გათვალისწინებულია ახალი გზის მოწყობა. გზის განთავსების სქემა მოცემულია ნახაზზე 6   </w:t>
      </w:r>
    </w:p>
    <w:p w:rsidR="00AA52B0" w:rsidRDefault="00AA52B0" w:rsidP="00F80F02">
      <w:pPr>
        <w:spacing w:after="120"/>
        <w:jc w:val="both"/>
        <w:rPr>
          <w:lang w:val="ka-GE"/>
        </w:rPr>
      </w:pPr>
      <w:r>
        <w:rPr>
          <w:lang w:val="ka-GE"/>
        </w:rPr>
        <w:t xml:space="preserve"> </w:t>
      </w:r>
    </w:p>
    <w:p w:rsidR="00AA52B0" w:rsidRDefault="00AA52B0" w:rsidP="00AA52B0">
      <w:pPr>
        <w:spacing w:after="120"/>
        <w:ind w:left="-502"/>
        <w:jc w:val="both"/>
        <w:rPr>
          <w:lang w:val="ka-GE"/>
        </w:rPr>
      </w:pPr>
    </w:p>
    <w:p w:rsidR="00AA52B0" w:rsidRDefault="00AA52B0" w:rsidP="00AA52B0">
      <w:pPr>
        <w:spacing w:after="120"/>
        <w:ind w:left="-502"/>
        <w:jc w:val="both"/>
        <w:rPr>
          <w:lang w:val="ka-GE"/>
        </w:rPr>
      </w:pPr>
    </w:p>
    <w:p w:rsidR="00AA52B0" w:rsidRDefault="00AA52B0" w:rsidP="00AA52B0">
      <w:pPr>
        <w:spacing w:after="120"/>
        <w:ind w:left="-502"/>
        <w:jc w:val="both"/>
        <w:rPr>
          <w:lang w:val="ka-GE"/>
        </w:rPr>
      </w:pPr>
    </w:p>
    <w:p w:rsidR="00AA52B0" w:rsidRDefault="00AA52B0" w:rsidP="00AA52B0">
      <w:pPr>
        <w:spacing w:after="120"/>
        <w:ind w:left="-502"/>
        <w:jc w:val="both"/>
        <w:rPr>
          <w:lang w:val="ka-GE"/>
        </w:rPr>
      </w:pPr>
    </w:p>
    <w:p w:rsidR="00AA52B0" w:rsidRDefault="00AA52B0" w:rsidP="00AA52B0">
      <w:pPr>
        <w:rPr>
          <w:rFonts w:cs="Calibri"/>
          <w:lang w:val="ka-GE"/>
        </w:rPr>
      </w:pPr>
    </w:p>
    <w:p w:rsidR="00AA52B0" w:rsidRDefault="00AA52B0" w:rsidP="00AA52B0">
      <w:pPr>
        <w:rPr>
          <w:rFonts w:cs="Calibri"/>
          <w:lang w:val="ka-GE"/>
        </w:rPr>
      </w:pPr>
      <w:r>
        <w:rPr>
          <w:rFonts w:cs="Calibri"/>
          <w:lang w:val="ka-GE"/>
        </w:rPr>
        <w:br w:type="page"/>
      </w:r>
    </w:p>
    <w:p w:rsidR="00AA52B0" w:rsidRDefault="00AA52B0" w:rsidP="00AA52B0">
      <w:pPr>
        <w:spacing w:after="0"/>
        <w:rPr>
          <w:rFonts w:cs="Calibri"/>
          <w:lang w:val="ka-GE"/>
        </w:rPr>
        <w:sectPr w:rsidR="00AA52B0" w:rsidSect="00F80F02">
          <w:pgSz w:w="11906" w:h="16838"/>
          <w:pgMar w:top="1134" w:right="1133" w:bottom="1134" w:left="1134" w:header="720" w:footer="720" w:gutter="0"/>
          <w:cols w:space="720"/>
        </w:sectPr>
      </w:pPr>
    </w:p>
    <w:p w:rsidR="00AA52B0" w:rsidRDefault="00AA52B0" w:rsidP="00AA52B0">
      <w:pPr>
        <w:spacing w:before="120" w:after="120" w:line="240" w:lineRule="auto"/>
        <w:jc w:val="both"/>
        <w:rPr>
          <w:rFonts w:eastAsia="Sylfaen" w:cs="Sylfaen"/>
          <w:b/>
          <w:color w:val="000000"/>
          <w:w w:val="100"/>
          <w:sz w:val="20"/>
          <w:szCs w:val="20"/>
          <w:lang w:val="ka-GE"/>
        </w:rPr>
      </w:pPr>
      <w:r>
        <w:rPr>
          <w:rFonts w:eastAsia="Sylfaen" w:cs="Sylfaen"/>
          <w:b/>
          <w:color w:val="000000"/>
          <w:sz w:val="20"/>
          <w:szCs w:val="20"/>
          <w:lang w:val="ka-GE"/>
        </w:rPr>
        <w:lastRenderedPageBreak/>
        <w:t>ნახაზი 1: გვირაბის შესასვლელი პორტალის სამშენებლო მოედნის სქემა</w:t>
      </w:r>
    </w:p>
    <w:p w:rsidR="00AA52B0" w:rsidRDefault="00AA52B0" w:rsidP="00AA52B0">
      <w:pPr>
        <w:spacing w:before="120" w:after="120" w:line="240" w:lineRule="auto"/>
        <w:jc w:val="center"/>
        <w:rPr>
          <w:rFonts w:eastAsia="Sylfaen"/>
          <w:sz w:val="18"/>
          <w:lang w:val="ka-GE"/>
        </w:rPr>
      </w:pPr>
      <w:r>
        <w:rPr>
          <w:rFonts w:eastAsia="Sylfaen"/>
          <w:noProof/>
          <w:lang w:val="ka-GE" w:eastAsia="ka-GE"/>
        </w:rPr>
        <w:drawing>
          <wp:inline distT="0" distB="0" distL="0" distR="0" wp14:anchorId="1661110E" wp14:editId="1096037F">
            <wp:extent cx="7466330" cy="5478145"/>
            <wp:effectExtent l="0" t="0" r="1270" b="825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466330" cy="5478145"/>
                    </a:xfrm>
                    <a:prstGeom prst="rect">
                      <a:avLst/>
                    </a:prstGeom>
                    <a:noFill/>
                    <a:ln>
                      <a:noFill/>
                    </a:ln>
                  </pic:spPr>
                </pic:pic>
              </a:graphicData>
            </a:graphic>
          </wp:inline>
        </w:drawing>
      </w:r>
    </w:p>
    <w:p w:rsidR="00AA52B0" w:rsidRDefault="00AA52B0" w:rsidP="00AA52B0">
      <w:pPr>
        <w:spacing w:before="120" w:after="120" w:line="240" w:lineRule="auto"/>
        <w:jc w:val="center"/>
        <w:rPr>
          <w:rFonts w:eastAsia="Sylfaen" w:cs="Sylfaen"/>
          <w:color w:val="000000"/>
          <w:szCs w:val="28"/>
          <w:lang w:val="ka-GE"/>
        </w:rPr>
      </w:pPr>
    </w:p>
    <w:p w:rsidR="00AA52B0" w:rsidRDefault="00AA52B0" w:rsidP="00AA52B0">
      <w:pPr>
        <w:spacing w:before="120" w:after="120" w:line="240" w:lineRule="auto"/>
        <w:jc w:val="both"/>
        <w:rPr>
          <w:rFonts w:eastAsia="Sylfaen" w:cs="Sylfaen"/>
          <w:b/>
          <w:color w:val="000000"/>
          <w:sz w:val="20"/>
          <w:szCs w:val="20"/>
          <w:lang w:val="ka-GE"/>
        </w:rPr>
      </w:pPr>
      <w:r>
        <w:rPr>
          <w:rFonts w:eastAsia="Sylfaen" w:cs="Sylfaen"/>
          <w:b/>
          <w:color w:val="000000"/>
          <w:sz w:val="20"/>
          <w:szCs w:val="20"/>
          <w:lang w:val="ka-GE"/>
        </w:rPr>
        <w:lastRenderedPageBreak/>
        <w:t xml:space="preserve">ნახაზი 2: გვირაბის გამოსასვლელი პორტალის სამშენებლო მოედნის სქემა </w:t>
      </w:r>
    </w:p>
    <w:p w:rsidR="00AA52B0" w:rsidRDefault="00AA52B0" w:rsidP="00AA52B0">
      <w:pPr>
        <w:spacing w:before="120" w:after="120" w:line="240" w:lineRule="auto"/>
        <w:jc w:val="center"/>
        <w:rPr>
          <w:rFonts w:eastAsia="Sylfaen"/>
          <w:sz w:val="14"/>
          <w:lang w:val="ka-GE"/>
        </w:rPr>
      </w:pPr>
      <w:r>
        <w:rPr>
          <w:rFonts w:eastAsia="Sylfaen"/>
          <w:noProof/>
          <w:lang w:val="ka-GE" w:eastAsia="ka-GE"/>
        </w:rPr>
        <w:drawing>
          <wp:inline distT="0" distB="0" distL="0" distR="0" wp14:anchorId="24D80999" wp14:editId="65D61471">
            <wp:extent cx="7251700" cy="5693410"/>
            <wp:effectExtent l="0" t="0" r="6350" b="254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251700" cy="5693410"/>
                    </a:xfrm>
                    <a:prstGeom prst="rect">
                      <a:avLst/>
                    </a:prstGeom>
                    <a:noFill/>
                    <a:ln>
                      <a:noFill/>
                    </a:ln>
                  </pic:spPr>
                </pic:pic>
              </a:graphicData>
            </a:graphic>
          </wp:inline>
        </w:drawing>
      </w:r>
    </w:p>
    <w:p w:rsidR="00AA52B0" w:rsidRDefault="00AA52B0" w:rsidP="00AA52B0">
      <w:pPr>
        <w:spacing w:before="120" w:after="120" w:line="240" w:lineRule="auto"/>
        <w:jc w:val="center"/>
        <w:rPr>
          <w:rFonts w:eastAsia="Sylfaen" w:cs="Sylfaen"/>
          <w:color w:val="000000"/>
          <w:szCs w:val="28"/>
          <w:lang w:val="ka-GE"/>
        </w:rPr>
      </w:pPr>
    </w:p>
    <w:p w:rsidR="00AA52B0" w:rsidRDefault="00AA52B0" w:rsidP="00AA52B0">
      <w:pPr>
        <w:spacing w:before="120" w:after="120" w:line="240" w:lineRule="auto"/>
        <w:jc w:val="both"/>
        <w:rPr>
          <w:rFonts w:eastAsia="Sylfaen" w:cs="Sylfaen"/>
          <w:b/>
          <w:color w:val="000000"/>
          <w:sz w:val="20"/>
          <w:szCs w:val="20"/>
          <w:lang w:val="ka-GE"/>
        </w:rPr>
      </w:pPr>
      <w:r>
        <w:rPr>
          <w:rFonts w:eastAsia="Sylfaen" w:cs="Sylfaen"/>
          <w:b/>
          <w:color w:val="000000"/>
          <w:sz w:val="20"/>
          <w:szCs w:val="20"/>
          <w:lang w:val="ka-GE"/>
        </w:rPr>
        <w:lastRenderedPageBreak/>
        <w:t xml:space="preserve">ნახაზი 3: სამშენებლო შტოლნის სამშენებლო მოედნის სქემა </w:t>
      </w:r>
    </w:p>
    <w:p w:rsidR="00AA52B0" w:rsidRDefault="00AA52B0" w:rsidP="00AA52B0">
      <w:pPr>
        <w:spacing w:before="120" w:after="120" w:line="240" w:lineRule="auto"/>
        <w:jc w:val="center"/>
        <w:rPr>
          <w:rFonts w:eastAsia="Sylfaen"/>
          <w:sz w:val="10"/>
          <w:lang w:val="ka-GE"/>
        </w:rPr>
      </w:pPr>
      <w:r>
        <w:rPr>
          <w:rFonts w:eastAsia="Sylfaen"/>
          <w:noProof/>
          <w:lang w:val="ka-GE" w:eastAsia="ka-GE"/>
        </w:rPr>
        <w:drawing>
          <wp:inline distT="0" distB="0" distL="0" distR="0" wp14:anchorId="0EF4FF50" wp14:editId="7543D28B">
            <wp:extent cx="7792085" cy="5327650"/>
            <wp:effectExtent l="0" t="0" r="0" b="635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792085" cy="5327650"/>
                    </a:xfrm>
                    <a:prstGeom prst="rect">
                      <a:avLst/>
                    </a:prstGeom>
                    <a:noFill/>
                    <a:ln>
                      <a:noFill/>
                    </a:ln>
                  </pic:spPr>
                </pic:pic>
              </a:graphicData>
            </a:graphic>
          </wp:inline>
        </w:drawing>
      </w:r>
    </w:p>
    <w:p w:rsidR="00AA52B0" w:rsidRDefault="00AA52B0" w:rsidP="00AA52B0">
      <w:pPr>
        <w:spacing w:before="120" w:after="120" w:line="240" w:lineRule="auto"/>
        <w:jc w:val="center"/>
        <w:rPr>
          <w:rFonts w:eastAsia="Sylfaen"/>
          <w:sz w:val="14"/>
          <w:lang w:val="ka-GE"/>
        </w:rPr>
      </w:pPr>
    </w:p>
    <w:p w:rsidR="00AA52B0" w:rsidRDefault="00AA52B0" w:rsidP="00AA52B0">
      <w:pPr>
        <w:rPr>
          <w:rFonts w:eastAsia="Calibri" w:cs="Calibri"/>
          <w:lang w:val="ka-GE"/>
        </w:rPr>
      </w:pPr>
      <w:r>
        <w:rPr>
          <w:rFonts w:cs="Calibri"/>
          <w:lang w:val="ka-GE"/>
        </w:rPr>
        <w:br w:type="page"/>
      </w:r>
    </w:p>
    <w:p w:rsidR="00AA52B0" w:rsidRDefault="00AA52B0" w:rsidP="00AA52B0">
      <w:pPr>
        <w:spacing w:after="0"/>
        <w:rPr>
          <w:b/>
          <w:sz w:val="20"/>
          <w:szCs w:val="20"/>
          <w:lang w:val="ka-GE"/>
        </w:rPr>
        <w:sectPr w:rsidR="00AA52B0">
          <w:pgSz w:w="16838" w:h="11906" w:orient="landscape"/>
          <w:pgMar w:top="1276" w:right="1134" w:bottom="851" w:left="1134" w:header="720" w:footer="720" w:gutter="0"/>
          <w:cols w:space="720"/>
        </w:sectPr>
      </w:pPr>
    </w:p>
    <w:p w:rsidR="00AA52B0" w:rsidRDefault="00AA52B0" w:rsidP="00AA52B0">
      <w:pPr>
        <w:rPr>
          <w:w w:val="100"/>
          <w:sz w:val="20"/>
          <w:szCs w:val="20"/>
          <w:lang w:val="ka-GE"/>
        </w:rPr>
      </w:pPr>
      <w:r>
        <w:rPr>
          <w:b/>
          <w:sz w:val="20"/>
          <w:szCs w:val="20"/>
          <w:lang w:val="ka-GE"/>
        </w:rPr>
        <w:lastRenderedPageBreak/>
        <w:t>ნახაზზე 4:</w:t>
      </w:r>
      <w:r>
        <w:rPr>
          <w:sz w:val="20"/>
          <w:szCs w:val="20"/>
          <w:lang w:val="ka-GE"/>
        </w:rPr>
        <w:t xml:space="preserve"> გვირაბიდან მიღებული სადრენაჟო წყლების  სალექარის სქემა</w:t>
      </w:r>
    </w:p>
    <w:p w:rsidR="00AA52B0" w:rsidRDefault="00AA52B0" w:rsidP="00AA52B0">
      <w:pPr>
        <w:jc w:val="center"/>
        <w:rPr>
          <w:rFonts w:cs="Calibri"/>
          <w:sz w:val="20"/>
          <w:szCs w:val="20"/>
          <w:lang w:val="ka-GE"/>
        </w:rPr>
      </w:pPr>
      <w:bookmarkStart w:id="0" w:name="_GoBack"/>
      <w:r>
        <w:rPr>
          <w:noProof/>
          <w:lang w:val="ka-GE" w:eastAsia="ka-GE"/>
        </w:rPr>
        <w:drawing>
          <wp:inline distT="0" distB="0" distL="0" distR="0" wp14:anchorId="67F35389" wp14:editId="0BD069A8">
            <wp:extent cx="5096510" cy="2504440"/>
            <wp:effectExtent l="0" t="0" r="889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96510" cy="2504440"/>
                    </a:xfrm>
                    <a:prstGeom prst="rect">
                      <a:avLst/>
                    </a:prstGeom>
                    <a:noFill/>
                    <a:ln>
                      <a:noFill/>
                    </a:ln>
                  </pic:spPr>
                </pic:pic>
              </a:graphicData>
            </a:graphic>
          </wp:inline>
        </w:drawing>
      </w:r>
      <w:bookmarkEnd w:id="0"/>
    </w:p>
    <w:p w:rsidR="00AA52B0" w:rsidRDefault="00AA52B0" w:rsidP="00AA52B0">
      <w:pPr>
        <w:jc w:val="both"/>
        <w:rPr>
          <w:rFonts w:cs="Calibri"/>
          <w:sz w:val="20"/>
          <w:szCs w:val="20"/>
          <w:lang w:val="ka-GE"/>
        </w:rPr>
      </w:pPr>
      <w:r>
        <w:rPr>
          <w:rFonts w:cs="Calibri"/>
          <w:b/>
          <w:sz w:val="20"/>
          <w:szCs w:val="20"/>
          <w:lang w:val="ka-GE"/>
        </w:rPr>
        <w:t>ნახაზი 5:</w:t>
      </w:r>
      <w:r>
        <w:rPr>
          <w:rFonts w:cs="Calibri"/>
          <w:sz w:val="20"/>
          <w:szCs w:val="20"/>
          <w:lang w:val="ka-GE"/>
        </w:rPr>
        <w:t xml:space="preserve"> გვირაბის გამოსასვლელ პორტალთან</w:t>
      </w:r>
      <w:r w:rsidR="00507807">
        <w:rPr>
          <w:rFonts w:cs="Calibri"/>
          <w:sz w:val="20"/>
          <w:szCs w:val="20"/>
          <w:lang w:val="ka-GE"/>
        </w:rPr>
        <w:t xml:space="preserve"> და ჰესის შენობასთან </w:t>
      </w:r>
      <w:r>
        <w:rPr>
          <w:rFonts w:cs="Calibri"/>
          <w:sz w:val="20"/>
          <w:szCs w:val="20"/>
          <w:lang w:val="ka-GE"/>
        </w:rPr>
        <w:t xml:space="preserve"> მისასვლელი გზ</w:t>
      </w:r>
      <w:r w:rsidR="00507807">
        <w:rPr>
          <w:rFonts w:cs="Calibri"/>
          <w:sz w:val="20"/>
          <w:szCs w:val="20"/>
          <w:lang w:val="ka-GE"/>
        </w:rPr>
        <w:t>ებ</w:t>
      </w:r>
      <w:r>
        <w:rPr>
          <w:rFonts w:cs="Calibri"/>
          <w:sz w:val="20"/>
          <w:szCs w:val="20"/>
          <w:lang w:val="ka-GE"/>
        </w:rPr>
        <w:t xml:space="preserve">ის სქემა </w:t>
      </w:r>
    </w:p>
    <w:p w:rsidR="00AA52B0" w:rsidRDefault="00507807" w:rsidP="00AA52B0">
      <w:pPr>
        <w:jc w:val="center"/>
        <w:rPr>
          <w:rFonts w:cs="Calibri"/>
          <w:sz w:val="20"/>
          <w:szCs w:val="20"/>
          <w:lang w:val="ka-GE"/>
        </w:rPr>
      </w:pPr>
      <w:r w:rsidRPr="00507807">
        <w:rPr>
          <w:rFonts w:eastAsia="Sylfaen"/>
          <w:noProof/>
          <w:w w:val="100"/>
          <w:lang w:val="ka-GE" w:eastAsia="ka-GE"/>
        </w:rPr>
        <w:drawing>
          <wp:inline distT="0" distB="0" distL="0" distR="0" wp14:anchorId="21C7A8E5" wp14:editId="03A70C4A">
            <wp:extent cx="5066706" cy="5905638"/>
            <wp:effectExtent l="0" t="0" r="63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74156" cy="5914321"/>
                    </a:xfrm>
                    <a:prstGeom prst="rect">
                      <a:avLst/>
                    </a:prstGeom>
                  </pic:spPr>
                </pic:pic>
              </a:graphicData>
            </a:graphic>
          </wp:inline>
        </w:drawing>
      </w:r>
    </w:p>
    <w:p w:rsidR="00AA52B0" w:rsidRDefault="00AA52B0" w:rsidP="00AA52B0">
      <w:pPr>
        <w:rPr>
          <w:rFonts w:cs="Calibri"/>
          <w:sz w:val="20"/>
          <w:szCs w:val="20"/>
          <w:lang w:val="ka-GE"/>
        </w:rPr>
      </w:pPr>
      <w:r>
        <w:rPr>
          <w:rFonts w:cs="Calibri"/>
          <w:b/>
          <w:sz w:val="20"/>
          <w:szCs w:val="20"/>
          <w:lang w:val="ka-GE"/>
        </w:rPr>
        <w:lastRenderedPageBreak/>
        <w:t>ნახაზი 6:</w:t>
      </w:r>
      <w:r>
        <w:rPr>
          <w:rFonts w:cs="Calibri"/>
          <w:sz w:val="20"/>
          <w:szCs w:val="20"/>
          <w:lang w:val="ka-GE"/>
        </w:rPr>
        <w:t xml:space="preserve"> სამშენებლო შტოლნასთან მისასვლელი გზის დერენის სქემა </w:t>
      </w:r>
    </w:p>
    <w:p w:rsidR="00AA52B0" w:rsidRDefault="003B449A" w:rsidP="00507807">
      <w:pPr>
        <w:jc w:val="center"/>
      </w:pPr>
      <w:r w:rsidRPr="003B449A">
        <w:rPr>
          <w:rFonts w:eastAsia="Sylfaen"/>
          <w:noProof/>
          <w:w w:val="100"/>
          <w:lang w:val="ka-GE" w:eastAsia="ka-GE"/>
        </w:rPr>
        <w:drawing>
          <wp:inline distT="0" distB="0" distL="0" distR="0" wp14:anchorId="7A6C9D55" wp14:editId="33DCBC57">
            <wp:extent cx="5940425" cy="461047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4610470"/>
                    </a:xfrm>
                    <a:prstGeom prst="rect">
                      <a:avLst/>
                    </a:prstGeom>
                  </pic:spPr>
                </pic:pic>
              </a:graphicData>
            </a:graphic>
          </wp:inline>
        </w:drawing>
      </w:r>
    </w:p>
    <w:sectPr w:rsidR="00AA52B0" w:rsidSect="00F80F02">
      <w:pgSz w:w="11906" w:h="16838"/>
      <w:pgMar w:top="1134" w:right="1133" w:bottom="1134"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00"/>
    <w:family w:val="modern"/>
    <w:pitch w:val="fixed"/>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000002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6369DA"/>
    <w:multiLevelType w:val="hybridMultilevel"/>
    <w:tmpl w:val="1C96ECC2"/>
    <w:lvl w:ilvl="0" w:tplc="04370001">
      <w:start w:val="1"/>
      <w:numFmt w:val="bullet"/>
      <w:lvlText w:val=""/>
      <w:lvlJc w:val="left"/>
      <w:pPr>
        <w:ind w:left="720" w:hanging="360"/>
      </w:pPr>
      <w:rPr>
        <w:rFonts w:ascii="Symbol" w:hAnsi="Symbol" w:hint="default"/>
      </w:rPr>
    </w:lvl>
    <w:lvl w:ilvl="1" w:tplc="04370003" w:tentative="1">
      <w:start w:val="1"/>
      <w:numFmt w:val="bullet"/>
      <w:lvlText w:val="o"/>
      <w:lvlJc w:val="left"/>
      <w:pPr>
        <w:ind w:left="1440" w:hanging="360"/>
      </w:pPr>
      <w:rPr>
        <w:rFonts w:ascii="Courier New" w:hAnsi="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1">
    <w:nsid w:val="116161E3"/>
    <w:multiLevelType w:val="hybridMultilevel"/>
    <w:tmpl w:val="F402A5F0"/>
    <w:lvl w:ilvl="0" w:tplc="041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15AA5DEB"/>
    <w:multiLevelType w:val="hybridMultilevel"/>
    <w:tmpl w:val="B6DEFF6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08"/>
  <w:hyphenationZone w:val="141"/>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0784"/>
    <w:rsid w:val="003B449A"/>
    <w:rsid w:val="00507807"/>
    <w:rsid w:val="007A28CD"/>
    <w:rsid w:val="00AA52B0"/>
    <w:rsid w:val="00CE75B6"/>
    <w:rsid w:val="00CE7DDE"/>
    <w:rsid w:val="00E00784"/>
    <w:rsid w:val="00F80F0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E457ACC-0C6D-4A1E-9DF4-5ADD7DE48E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Sylfaen" w:eastAsiaTheme="minorHAnsi" w:hAnsi="Sylfaen" w:cs="Times New Roman"/>
        <w:w w:val="105"/>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A52B0"/>
    <w:pPr>
      <w:spacing w:line="256"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A52B0"/>
    <w:pPr>
      <w:ind w:left="720"/>
      <w:contextualSpacing/>
    </w:pPr>
  </w:style>
  <w:style w:type="paragraph" w:styleId="BalloonText">
    <w:name w:val="Balloon Text"/>
    <w:basedOn w:val="Normal"/>
    <w:link w:val="BalloonTextChar"/>
    <w:uiPriority w:val="99"/>
    <w:semiHidden/>
    <w:unhideWhenUsed/>
    <w:rsid w:val="00F80F0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80F02"/>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2111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TotalTime>
  <Pages>8</Pages>
  <Words>887</Words>
  <Characters>5057</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Juguli</dc:creator>
  <cp:keywords/>
  <dc:description/>
  <cp:lastModifiedBy>Masha</cp:lastModifiedBy>
  <cp:revision>11</cp:revision>
  <cp:lastPrinted>2022-03-11T08:21:00Z</cp:lastPrinted>
  <dcterms:created xsi:type="dcterms:W3CDTF">2022-02-23T07:38:00Z</dcterms:created>
  <dcterms:modified xsi:type="dcterms:W3CDTF">2022-03-11T08:21:00Z</dcterms:modified>
</cp:coreProperties>
</file>